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NATHAN BOUDREAU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CANDIDATE FOR STATE REPRESENTATIVE • 2ND WORCESTER DISTRICT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Gardner, MA • info@boudreauforrep.org • boudreauforrep.org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FOR IMMEDIATE RELEASE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May 17, 2026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Boudreau Proposes Structural Reform Package to Bridge 2nd Worcester District Funding Gaps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GARDNER, MA — Nathan Boudreau, candidate for State Representative in the 2nd Worcester District, today released a comprehensive policy package aimed at addressing structural inequities in the Chapter 70 school aid formula.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package includes five proposed amendments, draft statutory language, fiscal projections, and a working governance model. It was delivered to Senator Peter Durant's office ahead of Monday's S.4 budget debate.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After reviewing amendments filed across the last three budget cycles, Boudreau concluded that these specific structural fixes remain largely outside the current debate. While some proposals focus on one-time study commissions, this package is built around immediate, formula-embedded reforms for district communities.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Templeton voters are heading into a May 18 override vote with $4 million, $2 million, and zero-override scenarios on the table. That local debate shows how quickly structural pressure in school funding and municipal budgets turns into practical decisions about services, staffing, and tax capacity.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At the center of the proposal is a conflict between formula-calculated local contributions and actual levy growth under Proposition 2 1/2. The package would cap annual required local contribution increases at a municipality's real levy growth capacity, with the state covering the difference through additional Chapter 70 aid.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proposal argues that structural funding gaps cannot be solved through line-item increases alone. Instead, it would embed corrective mechanisms directly into the formula so district stability does not depend on one-time appropriations or annual improvisation.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packet delivered to Senator Durant's office includes: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• S.4 Amendment Package: Five additive, non-redistributive amendments, including the Hold-Harmless Transparency requirement, which would require publication of erosion data the state already calculates.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• Fiscal Pay-Fors: A fiscal note showing an estimated $18-35M cost range, supported by existing Fair Share education revenue and the Rural School Aid line item.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• Draft Legislative Language: Ready-to-file text for the Transparency Amendment, amending MGL c.70, §6, with a supporting legislative memo.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• Municipal Impact Analysis: District projections showing an estimated 3.15% to 4.36% aid increase across Gardner, Ashburnham, Templeton, and Winchendon under the reform package.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• Governance Workbook: A working model containing 86 live formulas, district-level simulations, and assumption stress tests.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package is designed to complement current Senate Ways and Means efforts, including the FY2027 Senate budget's move to reconvene the Foundation Budget Review Commission.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If adopted in this cycle, the amendments would provide an immediate path toward structural correction. If taken up later, the package is intended to serve as a practical foundation for the commission's next round of work.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five amendments — Hold-Harmless Transparency, Enrollment Smoothing, RLC Growth Cap, Inflation-Indexed Minimum Aid, and Mandatory Formula Review — were verified as unfiled in their present form across 3,902 pending amendments. The closest filed alternatives remain one-time study proposals that do not embed these reforms in the formula itself.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 # #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MEDIA CONTACT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Nathan Boudreau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info@boudreauforrep.org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